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8B" w:rsidRPr="00A42B8B" w:rsidRDefault="00A42B8B" w:rsidP="00A42B8B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3C709D"/>
          <w:kern w:val="36"/>
          <w:sz w:val="35"/>
          <w:szCs w:val="35"/>
          <w:lang w:eastAsia="ru-RU"/>
        </w:rPr>
      </w:pPr>
      <w:r w:rsidRPr="00A42B8B">
        <w:rPr>
          <w:rFonts w:ascii="Segoe UI" w:eastAsia="Times New Roman" w:hAnsi="Segoe UI" w:cs="Segoe UI"/>
          <w:color w:val="3C709D"/>
          <w:kern w:val="36"/>
          <w:sz w:val="35"/>
          <w:szCs w:val="35"/>
          <w:lang w:eastAsia="ru-RU"/>
        </w:rPr>
        <w:t>Стратегические коммуникации: базовые принципы проектирования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4" w:history="1">
        <w:r w:rsidRPr="00A42B8B">
          <w:rPr>
            <w:rFonts w:ascii="Segoe UI" w:eastAsia="Times New Roman" w:hAnsi="Segoe UI" w:cs="Segoe UI"/>
            <w:color w:val="8A8A8A"/>
            <w:u w:val="single"/>
            <w:lang w:eastAsia="ru-RU"/>
          </w:rPr>
          <w:t>Скачать статью</w:t>
        </w:r>
      </w:hyperlink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sz w:val="23"/>
          <w:lang w:eastAsia="ru-RU"/>
        </w:rPr>
        <w:t>Старых Н.В.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кандидат филологических наук, старший научный сотрудник кафедры рекламы и связей с общественностью факультета журналистики МГУ имени М.В. Ломоносова, г. Москва, Россия</w:t>
      </w:r>
    </w:p>
    <w:p w:rsidR="00A42B8B" w:rsidRPr="00A42B8B" w:rsidRDefault="00A42B8B" w:rsidP="00A42B8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e-mail: </w:t>
      </w:r>
      <w:hyperlink r:id="rId5" w:history="1">
        <w:r w:rsidRPr="00A42B8B">
          <w:rPr>
            <w:rFonts w:ascii="Segoe UI" w:eastAsia="Times New Roman" w:hAnsi="Segoe UI" w:cs="Segoe UI"/>
            <w:color w:val="498EBC"/>
            <w:u w:val="single"/>
            <w:lang w:eastAsia="ru-RU"/>
          </w:rPr>
          <w:t>staryh@mail.ra</w:t>
        </w:r>
      </w:hyperlink>
    </w:p>
    <w:p w:rsidR="00A42B8B" w:rsidRPr="00A42B8B" w:rsidRDefault="00A42B8B" w:rsidP="00A42B8B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color w:val="3C709D"/>
          <w:sz w:val="33"/>
          <w:szCs w:val="33"/>
          <w:lang w:eastAsia="ru-RU"/>
        </w:rPr>
      </w:pPr>
      <w:r w:rsidRPr="00A42B8B">
        <w:rPr>
          <w:rFonts w:ascii="Segoe UI" w:eastAsia="Times New Roman" w:hAnsi="Segoe UI" w:cs="Segoe UI"/>
          <w:color w:val="3C709D"/>
          <w:sz w:val="33"/>
          <w:szCs w:val="33"/>
          <w:lang w:eastAsia="ru-RU"/>
        </w:rPr>
        <w:t>Раздел: Реклама и связи с общественностью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i/>
          <w:iCs/>
          <w:color w:val="000000"/>
          <w:lang w:eastAsia="ru-RU"/>
        </w:rPr>
        <w:t>Культура управления коммуникационными проектами в России приживается с трудом, что демонстрируется, в частности, недостаточной теоретической рефлексией. Автор обращает внимание на смысловую размытость центрального понятия — «стратегические коммуникации». В определении стратегических коммуникаций автор концептуально соотносится с теорией стратегического менеджмента и полагает, что термин обозначает особые принципы управления коммуникационным процессом. Суть базовых принципов стратегических коммуникаций изложена в настоящей статье.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Ключевые слова: </w:t>
      </w:r>
      <w:r w:rsidRPr="00A42B8B">
        <w:rPr>
          <w:rFonts w:ascii="Segoe UI" w:eastAsia="Times New Roman" w:hAnsi="Segoe UI" w:cs="Segoe UI"/>
          <w:i/>
          <w:iCs/>
          <w:color w:val="000000"/>
          <w:lang w:eastAsia="ru-RU"/>
        </w:rPr>
        <w:t>стратегические коммуникации, коммуникационный менеджмент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Сделайте запрос в любой поисковой системе о «стратегических коммуникациях» и получите необозримое количество ссылок. Уже один этот факт указывает на модный теоретический тренд. Одна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ко, несмотря на повышенное внимание к стратегическому плани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рованию коммуникаций, понимание предмета в отечественной те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ории и практике весьма туманно. Чтобы убедиться в этом, достаточно — хотя бы выборочно — пройти по ссылкам, найден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ным в поисковой системе. Такое впечатление, что «неактуальный» термин «связи с общественностью» механически замещен более привлекательным «стратегические коммуникации». Это впечатле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ние необманчиво. Международная консалтинговая компания “Grayling” пришла к аналогичным выводам на основании масштабного количественного исследования, проведенного год назад</w:t>
      </w:r>
      <w:hyperlink r:id="rId6" w:anchor="_ftn1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 Однако понятие «стратегические коммуникации» абсолютно не привязано к роду коммуникационной деятельности, к которым мы относим и связи с общественностью, и рекламу, и стимулиро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вание сбыта, и журналистику. Термин обозначает особые принци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пы управления коммуникационным процессом, суть которых мы попробуем изложить в настоящей статье. В определении модели стратегических коммуникаций автор концептуально соотносится с теорией стратегического менеджмента, а также анализирует теоре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тические подходы зарубежных ученых в исследовании стратегиче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ских коммуникаций.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lang w:eastAsia="ru-RU"/>
        </w:rPr>
        <w:t>Характеристика понятий «стратегическое управление» и «стратегические коммуникации»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 обыденной практике понятие «управление» имеет множество смысловых коннотаций: власть, распоряжения, начальство... Нам для работы с этой категорией нужен более строгий терминологи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ческий смысл. В научный обиход термин пришел из теории сис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тем — отрасли научного знания, которая исследует принципы функционирования объектов окружающего мира. Метод систем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ного исследования предполагает своеобразный взгляд на окружа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ющие явления как структуры значимых элементов, связанных между собой и с объектами внешнего мира специфическими отно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шениями. Правила, которые определяют порядок взаимодействия систем с внешним миром и внутрисистемные взаимоотношения, и составляют область управления.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Сформулируем ряд уточняющих вопросов, расширяющих пони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мание модели управления, выстроенной в логике теории систем.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lastRenderedPageBreak/>
        <w:t>1. Кто выполняет роль управленца, разрабатывающего нормы взаимодействия элементов системы?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Если брать биологические системы, например, жизнедеятель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 человеческого организма, то координирующие принципы все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цело осуществляются Природой посредством системы безуслов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ных рефлексов и инстинктов. Что касается социальных систем, то правила их функционирования в большей мере определяются че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ловеческими разумом и волей. Во всяком случае, так человеку хо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чется. Конечно, социальные системы бывают разных масштабов, разной степени сложности, управление которыми характеризуется разными степенями вмешательства человеческой воли. Мы здесь не будем говорить о судьбах народов и цивилизации. Наш интерес связан с микроуровнями социума, соразмерными сознанию инди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видуумов, которые свои деловые и общественные интересы реали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зуют в создаваемых ими (или другими людьми) организациях.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2. Как нам следует представить организацию в терминах теории систем?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 этой умозрительной модели должны быть выделены значи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мые для функционирования организации внутренние элементы (экономисты используют термин «ресурсы»), которые координи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руются между собой таким образом, чтобы система эффективно функционировала в условиях внешней среды. Эффективность в данном случае — это достижение деловых целей, во имя которых организация была создана.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3. Какую смысловую нагрузку несет термин «стратегическое управление» в приведенной модели функционирования организа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ции? В чем его отличие от множества «разновидностей» менедж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мента: менеджмент качества, организационный менеджмент, фи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нансовый менеджмент, маркетинг, кадровый менеджмент и т.д.?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Стратегическое управление — это управление целями органи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зации. Несмотря на интуитивную очевидность, в теории и практи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ке эта составляющая процесса управления была осознана и обрела центровой статус лишь в 1950-е гг. Производственные процессы, кадры, управление сбытом, финансами и т.д. — несомненно, важ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ные ресурсы организации. Однако реальность периодически ста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вит управленцев на место, когда они недооценивают сложность системной упорядоченности предприятия и идентифицируют жи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вой социальный организм с одним из перечисленных ресурсов либо с их суммой. Сложные системы, как известно, нелинейно 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агируют на воздействия. И первый серьезный урок менеджмент получил во второй половине XX в. Крупнейшие корпорации США — например, автомобильный концерн “General Motors”, многоот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раслевые корпорации “General Electric” (GE) и “Procter &amp; Gamble” (P&amp;G), банк “Chase Manhattan Corp.”, издательский дом “Time Inc.” — оказались на грани банкротства, и ни один из организаци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онных ресурсов, принимаемых на тот момент важнейшим, не мог спасти положения. Этот драматический исторический момент соз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дает своего героя. Питер Друкер</w:t>
      </w:r>
      <w:hyperlink r:id="rId7" w:anchor="_ftn2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[2]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добавляет в теоретическую мо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дель организации важнейший структурный элемент — цель. А так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же разрабатывает теорию управления по целям, положившую начало развитию разнообразных школ стратегического менедж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мента</w:t>
      </w:r>
      <w:hyperlink r:id="rId8" w:anchor="_ftn3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[3]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 чем суть рекомендаций Друкера?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1. Прежде всего он поломал привычный взгляд на понимание бизнес-цели. Как правило, лидеры бизнеса мерили ее объемом вы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пуска продукта. Такая цель работала, пока спрос был ненасыщен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ным и рынок потреблял все, что мог предложить производитель. Но в 1950-е гг. изменился образ жизни американцев, а вместе с ним и их потребительское поведение и структура спроса. Конку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ренция обрела совершенно иные масштабы; «жирные» рынки спо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собствовали наращиванию предпринимательского капитала, быв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шие «тихие партизаны» стали предпочитать агрессивные стратегии игры. Гиганты американской промышленности потеряли моно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польную позицию на рынках. Три-четыре сильных конкурента на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вязывали новые правила бизнес-игр и создавали новый тип рынка — олигополию. Вывод напрашивался сам собой: именно ситуация определяет адекватность активностей бизнеса. Ситуация изменчи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ва, поэтому не может быть универсальных «рецептов» роста для бизнеса. Питер Друкер провозгласил ситуационный анализ как один из основополагающих принципов для стратегического управ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ления: начинать планирование с анализа внешней среды и оценки рыночных возможностей.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2. Второй важный принцип стратегического управления: цели бизнеса образуют причинно-следственную логику производствен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ного планирования — будь то бизнес-процессы, или технологиче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ские процессы создания продукта. В стратегическом менеджменте имеется специальный термин: декомпозиция целей бизнеса. Функциональную структуру организации представляют в образе иерар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хического древа, где нижние структурные подразделения получает плановые показатели деятельности от смежного вышестоящего подразделения в соответствии с ожидаемым вкладом в общую ор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ганизационную цель. Например, если предприятие планирует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лучить прибыль в предстоящем году 100 млн денежных единиц, и производственные расходы составляют 50 млн денежных единиц, то отдел маркетинга должен принести в организацию 150 млн д.е. Как это сделать — зона ответственности стратегов — маркетоло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гов, которые владеют технологиями управления спросом. Как из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вестно, маркетинг располагает четырьмя типами инструментов: продукт, цена, доставка, маркетинговые коммуникации. Предпо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ложим, что маркетинговый отдел планирует увеличить продажи с помощью двух инструментов: расширения дистрибутивной сети и коммуникации. За счет увеличения точек продаж маркетинговый план выполняется на 100 млн д.е. Остальные 50 млн д.е. следует заработать службе рекламе. И это зона ответственности специали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ста по стратегическим коммуникациям. 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3. Процесс декомпозиции стратегических целей — это сложный аналитический процесс. От наивных фантазий профанов методику защищает принцип измеримости плановых показателей — третий принцип стратегического управления. Численной оценке подвергаются все формы деятельности на предприятии. Когда речь идет о продажах или о производстве, особых затруднений с применени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ем вычислений не возникает. Эти данные традиционно фиксиру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ются бухгалтерией. А как определить численные показатели для оценки деятельности рекламной или ПР-службы? Как «конверти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ровать» коммуникационные эффекты в финансовые показатели? Профессионал способен рассчитать необходимый для выполнения плана маркетинга бюджет коммуникационной кампании — с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грешностью, не превышающей 3—5%. Такая точность достигается благодаря способности специалиста по стратегическим коммуни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кациям произвести «декомпозицию» технологического процесса коммуникационной кампании и спланировать контрольные пока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затели для каждой из рабочих операций: при планировании ком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муникативных целей, при принятии решений о том, какую важ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ную информацию о товаре донести и как следует ее подавать, какие медиа использовать.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Итак, подведем предварительные итоги.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1. Коммуникации приобретают качество стратегических, если рассматриваются в ситуационном контексте деловой стратегии ор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ганизации. Термин «стратегические коммуникации» экспортирован из теоретического концепта об иерархической модели декомпозиции целей в стратегическом менеджменте.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2. Производство стратегического коммуникационного продукта опирается на принцип декомпозиции целей, при котором техноло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гический процесс разделяется на простейшие операции, связанные друг с другом причинно-следственными отношениями. Методом установления причинно-следственных отношений является поиск концептуального соответствия смежных операционных инстру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ментов.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3. В стратегических коммуникациях реализуются принцип изме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римости целей. Стратегические коммуникации опираются на ме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тодики прогноза эффектов коммуникационных мероприятий, вы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раженные в терминах финансовой отчетности, а также алгоритмы расчета величины коммуникационного бюджета, погрешность кото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рых не превышает 3—5%. Бюджет на коммуникационную кампа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нию рассматривается как финансовая инвестиция, которая должна отвечать принятым в компании требованиям рентабельности.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Следующую часть статьи посвятим историографическому обзору разработки теоретических моделей стратегических коммуникаций. В теории менеджмента вопрос об измерении экономической эф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фективности коммуникационных мероприятий формулируется с начала 1980-х годов. Нам представляется уместным представить здесь три типа решения, идеи которых инспирированы различными принципами стратегического менеджмента.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lang w:eastAsia="ru-RU"/>
        </w:rPr>
        <w:t>Модель стратегических коммуникаций Видаля—Вольфа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Считается, что американские исследователи М. Видаль и X. Вольф одними из первых предложили инструмент планирования бюджета коммуникационной кампании [Кутлалиев, Попов, 2005, с. 366—368]. На приведенном графике 1 визуализирована логика их размышле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ния. Влияние коммуникационного воздействия на продажи выра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жается ростом притока покупателей и, следовательно, продаж, пропорциональных коэффициенту к. При отсутствии коммуника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ционного стимулирования потребителей, продажи падают, проис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ходит естественный отток клиентов, пропорциональных коэффи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циенту с,. Коэффициенты к, с, определяются для каждого типа рынка экспериментальным методом.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lang w:eastAsia="ru-RU"/>
        </w:rPr>
        <w:drawing>
          <wp:inline distT="0" distB="0" distL="0" distR="0">
            <wp:extent cx="3648710" cy="3019425"/>
            <wp:effectExtent l="19050" t="0" r="8890" b="0"/>
            <wp:docPr id="1" name="Рисунок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Авторы предлагают математическую формулу, выражающую за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висимость продаж бренда от емкости рынка и величины коммуни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кационного бюджета:</w:t>
      </w:r>
    </w:p>
    <w:p w:rsidR="00A42B8B" w:rsidRPr="00A42B8B" w:rsidRDefault="00A42B8B" w:rsidP="00A42B8B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ΔY = kI · (M − Y)/Y − ςY,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где A Y— планируемое увеличение продаж; Y— доля рынка на вре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мя планирования; М — объем рынка; I — затраты на рекламу; к — константа, выражающая реакцию сбыта на коммуникационное воздействие; &lt;; — константа, выражающая уменьшение объема 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даж при отсутствии вложений в маркетинговые коммуникации.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Разумеется, открывшаяся возможность измерения эффектив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ности и планирования рекламных бюджетов означала революци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онный прорыв в коммуникационном менеджменте. Однако этот инструмент имеет ограниченное применение без интерпретации коэффициентов к, с,. В модели Видаля—Вольфа они подаются как итог экспериментальных исследований и анализа статистических данных о реакции рынков на коммуникационные воздействие и молчание. Из этого следует, что всякий раз, когда специалисту приходится иметь дело с новым рынком, необходимо набрать массу новых экспериментальных данных, чтобы получить достоверные прогнозные коэффициенты.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Однако мы можем выдвинуть гипотезу, что коэффициенты от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ражают связь между поведением потребителя и универсальными психологическими процессами обработки информации. Такое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нимание экономической статистики позволяет стратеджик- менеджеру занять метапозицию и использовать коэффициенты как универсальные инструменты прогноза продаж и оттока потре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бителей, вне зависимости от типа товарного рынка.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Коэффициент притока покупателей отражает зависимость между покупками и потребительскими знаниями о рынке и торговой марке.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Впервые зависимость поведения от степени сформированности представлений о среде жизнедеятельности сформулировал необихевиорист Эдвард Толмен в 1930-е гг. [Толмен, 1980, с. 63—69]. Опыты проводились на крысах, но, как известно, бихевиористы считали, что в основе коррекции поведения человека лежат сход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ные механизмы формирования условных стимулов, которые они называли научением. Результатом научения является когнитивная карта — ментальная навигационная схема, хранящихся в памяти человека и помогающая ему адаптироваться к условиям внешней среды — в том числе, условиям потребительских, политических рынков и прочих ситуаций.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Эмпирические исследования в маркетинге зафиксировали ряд статистически значимых зависимостей, подтверждающие бихеви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ористскую концепцию научения (см. табл. I)</w:t>
      </w:r>
      <w:hyperlink r:id="rId10" w:anchor="_ftn4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[4]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lang w:eastAsia="ru-RU"/>
        </w:rPr>
        <w:drawing>
          <wp:inline distT="0" distB="0" distL="0" distR="0">
            <wp:extent cx="3735070" cy="1673225"/>
            <wp:effectExtent l="19050" t="0" r="0" b="0"/>
            <wp:docPr id="2" name="Рисунок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Приведенная табл. 1 образована пересечением двух парамет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ров — «знание рынков» и «знание товара» — и представляет собой разновидность «когнитивных карт». В методике прогноза покупок ключевым моментом является точность диагностики когниций, которые в конечном счете определяют стиль мышления потреби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теля и тип его поведения.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Параметр «знание рынков» находится в прямой зависимости от мотивированности потребителя. Поэтому в маркетинге эквива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лентами понятию «знание рынка» является термины «вовлечен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ность» (заинтересованность в категории товаров услуг), «потреб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 в категории» (признание нужды в товаре, услуге). Приведем простой пример, который поможет понять различные градации мотивированности потребителя.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Возьмем рынок моды: модная одежда, обувь, аксессуары. Что значит «хорошее знание рынка»? Очевидно, это знание модных брендов, их историй, характерного стиля, проявляющегося и в си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луэтах одежды, и в дизайне аксессуаров, и в выборе цветовой гам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мы. Знание светской жизни, знаменитостей, которые задают акту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альные модные тренды. Кого мы можем назвать экспертом во всех этих вопросах? Публичных персон, профессионалов, обслуживаю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щих модные рынки. Сюда же следует отнести молодежь, стремя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щуюся к публичной карьере, активно поглощающую информацию глянцевых изданий. Они не дрогнут, переплачивая на порядок за известную марку, поскольку точно знают, за что платят. Чего не скажешь о категории покупателей со «средним» знанием рынка моды. Кое-какие имена они несомненно слышали. Но знания эти обрывочные, и убеждения в превосходстве какого-дибо культового имени в модном мире — нестойкие. Момент истины наступает в момент покупки одежды, когда потребитель делает выбор в пользу качественного товара, но без громкого имени. Как видно из табл. 1, шанс раскрученного бренда попасть в корзину такого потребителя составляет 50—60%, что уравнивает его в правах с так называемы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ми “no пате”. Нетрудно представить типаж со «слабым знанием» рынка. Он затрудняется назвать какие-либо модные марки. Любое предложение с повышенным ценником за аналогичный товар скло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нен воспринимать негативно — как попытку обмана. Несомненно, в этом случае имеет место блокировка сознанием информации о модных рынках, и связано это с определенными мировоззренче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скими ценностями.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Параметр «известность товара» маркетологи определяют как способность потребителя идентифицировать (узнать, вспомнить) товарную марку данной товарной категории в объеме, достаточ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ном для совершения покупки [Росситер, Перси, 2000, с. 123]. Когда товар впервые выпускается на рынок, потребитель не знает ни его имени, ни товарных свойств. Отсюда — степень его неуверенности в выборе новинки. По истечении двух лет работы на рынке товар меняет статус «новинки» на «существующий». За это время неу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дачники отсеиваются, а успешные марки остаются — те, которые сумели завоевать известность, положительную репутацию и лояль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ных клиентов. Если известная марка расширяет ассортимент, то такой товар следует интерпретировать как «модернизированный».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Выше мы пообещали читателю, что понимание сути коэффи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циентов к, с, сделает математические манипуляции с прогнозом продаж, расчетом коммуникационного бюджета более осмыслен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ным. Вернемся к задаче с фирмой, пожелавшей увеличить долю рынка в четыре раза. Попробуем извлечь больше информации о ситуации, представленной нам в форме цифровых кодов. Коэф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фициент притока покупателей равен 0,05. Эта цифра говорит нам о том, что фирма предлагает инновационный продукт. Большин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ство потенциальных клиентов не только не знают о существова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нии товара, но даже не догадываются пока о том, что испытывают «жуткую» нужду в нем.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Коэффициент оттока клиентов &lt;; связан с процессом забывания марок. Ключевым моментом в характеристике &lt;; является бихевио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ристская интерпретация товарного знака как условного стимула, запускающего заданное потребительское поведение. Без рекламно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коммуникационного подкрепления условные рефлексы угасают, потребители переключаются на другие, активно заявляющие о себе марки. Отсюда можно сделать вывод, что ни одна товарная марка не может себе позволить слишком долго пренебрегать контактами со своими клиентами. Но как рассчитать допустимый период реклам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ного молчания? Он различен для различных бизнес-ситуаций.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Ситуация № 1. Зависимость &lt;; от цикла потребления продукта. Эта эмпирически обнаруженная связь имеет логическое объяснение. Условно-рефлекторное поведение зависимо от подкрепляющей информации, к которой — в первую очередь! — следует отнести сам процесс использования товара. Вот когда товар заканчивается, включаются механизмы забывания. Таким образом, цикл исполь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зования продукта является минимальной единицей измерения силы условного стимула, который мы называем маркой. Бывают сильные торговые марки, которые потребитель не забывает без 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кламного стимулирования в течение 3—9 циклов потребления. Но это особая ситуация, которую мы обсудим ниже. В обычных слу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чаях, которых большинство, и именно они определяют особен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 рынка, цикл потребления продукта пропорционален пока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зателю «дисконтирования клиентского потока» [Рязанов, Шматов, 2002, с. 118—121], который выражается коэффициентом с,.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Математическое выражение &lt;; имеет вид с, = 1 : т, где т — цикл потребления продукта.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Данные о циклах потребления продуктов не являются закрытой информацией, эти цифры можно встретить в свободном доступе в интернет-обзорах рынков. Так что для расчета ценного коэффициен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та нет необходимости в приобретении дорогостоящей информации у исследовательских агентств. Ю. Рязанов и Г. Шматов, предста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вившие математическое обоснование этого коэффициента, демон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стрируют возможности расчетов для некоторых рынков в табл. 2 [там же, с. 132]: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lang w:eastAsia="ru-RU"/>
        </w:rPr>
        <w:drawing>
          <wp:inline distT="0" distB="0" distL="0" distR="0">
            <wp:extent cx="3821430" cy="2665730"/>
            <wp:effectExtent l="19050" t="0" r="7620" b="0"/>
            <wp:docPr id="3" name="Рисунок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Прокомментируем некоторые данные, приведенные в табл. 2. Недвижимость имеет длительный срок использования: согласно статистическим данным, средний срок смены жилья по России со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ставляет 10 лет. Какой вывод должны делать игроки рынка недвижимости — риелторские фирмы, строительные компании — об естественном убывании клиентской базы? Коэффициент «ухода» потребителей (&lt;;) составляет 1 : 10 (лет) = 0,1 (в год). Его также можно представить в процентах: 0,1 х 100% = 10%. Естественные потери клиентской базы на рынке недвижимости составляют 10%. Коэффициент ухода может быть рассчитан для одного месяца. Тогда срок использования товара следует выразить в соответствующей единице измерения — в месяцах: &lt;; = 1: (10 лет х 12 мес.) = 0,0083, или 0, 83% (в месяц). Итак, потери зримо обозначены. Если сокращение дохода на 10% для бизнеса фирм, работающих с недвижи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мостью не является проблемой, можно выдержать паузу.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А вот для производителей продуктов питания — даже самых именитых! — годовое молчание может закончиться летальным ис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ходом. Продемонстрируем это расчетами. Средний цикл потребле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ния продуктов — например, хлопьев к завтраку, составляет 0,25 года, или 3 месяца. Не будем удивляться такой странной статисти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ке, ведь здесь посчитаны и фанаты этого продукта, и те, кто хлопья приобретает время от времени. Вычислим коэффициент ухода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требителей для одного года: &lt;; = 1 : 0,25 (года) = 4, т.е. 400% потерь. Абсурдная цифра, поскольку смерть наступает лишь один раз... Для средней марки хлопьев для завтрака без рекламного стимули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рования коллапс наступает в течение трех месяцев. Сильная, ши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роко распространенная марка хлопьев без рекламы гарантированно потеряет всех своих клиентов в течение года. Это прекрасно пони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мают производители товаров с коротким циклом потребления, от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числяя на коммуникационную поддержку своих брендов самые внушительные бюджеты. Даже в кризисные времена владельцы брендов FMCG</w:t>
      </w:r>
      <w:hyperlink r:id="rId13" w:anchor="_ftn5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[5]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возглавляли рейтинги крупнейших рекламодате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лей на ТВ.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Рассмотрим ситуацию № 2, когда &lt;; зависит от силы бренда.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вторим, что сила бренда измеряется количеством стандартных ци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клов потребления, в течение которых он может продержаться без коммуникационной поддержки (сюда входит не только реклама, но и мерчандайзинг, мероприятия по стимулированию сбыта и т.д.). Сильный бренд существенно улучшает показатели рентабель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ности капитала, вложенного в бизнес, а также его продажную сто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имость. Например, при продаже бизнеса «стоимость» лояльности потребителя оценивается как возможность извлечения дохода без дополнительных расходов.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Хотелось бы сослаться на показательную ситуацию, относящу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юся ко времени становления московского рынка интернет-провай- деров</w:t>
      </w:r>
      <w:hyperlink r:id="rId14" w:anchor="_ftn6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[6]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 Низкий входной барьер стимулировал приход множества предпринимателей, которые часто и целенаправленно создавали бизнес на продажу. Они строили локальные сети численностью 1—5 тыс. пользователей, средняя стоимость которых составляла 100 долл. за пользователя. В том случае, если им удавалось выстро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ить со своими клиентами отношения, напоминающие «закрытый клуб для друзей», продажная стоимость бизнеса возрастала в 3 раза и доходила до 300 долл. за пользователя. Из чего исходил в своих расчетах покупатель? Абонентская плата на тот период составляла в среднем 1000 руб. в месяц, средний срок смены провайдера — 3 месяца. Следовательно, стоимость одного пользователя сети составляла порядка 3 тыс. руб., или 100 долл. Стоимость бизнеса — 100 долл., умноженные на численность абонентов. Почему поку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патель шел на трехкратное повышение цены? Потому что эмпири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ческим путем было определено, что лояльный пользователь интернет-услуг не меняет провайдера в течение трех потребитель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ских циклов.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У специалистов в области коммуникационного менеджмента имеется разброс мнений по поводу оценки силы бренда: от 3 до 9 циклов потребления. Модель Видаля-Вольфа не может дать от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вета на сей счет, точный расчет возможен на базе модели S-образ- ной кривой.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lang w:eastAsia="ru-RU"/>
        </w:rPr>
        <w:t>S-образная кривая в моделировании стратегических коммуникаций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 модели S-образной кривой учтен важнейший принцип стра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тегического планирования — ситуационный контекст, определяю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щий стратегические возможности бренд-коммуникаций. S-образная кривая репрезетирует многофакторную модель реальности, по сравнению с которой вариант Видаля—Вольфа, описывающий вклад коммуникаций в развитие бизнеса как линейную функцию, кажется упрощением.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Если верить источникам, впервые S-кривые жизненного цикла были описаны в биологии в 1845 г. Ворхолстом, который исследо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вал рост колоний дрожжевых грибков на питательных средах. На основании опытов ученый формулирует закономерности развития систем в условиях ограниченных ресурсов. Поскольку многие сферы человеческой деятельности также сталкиваются с ограниченностью ресурса, моделирование жизненного цикла объекта было взято на вооружение в социологии, политологии, маркетинге (спрос — это ресурс ограниченный).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Эвристика модели раскрывается в представлении S-графика в виде математической формулы, выражающей отношения трех пе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ременных</w:t>
      </w:r>
      <w:hyperlink r:id="rId15" w:anchor="_ftn7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[7]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 Эти переменные следует понимать как ситуационные факторы, определяющие динамику развития исследуемого объекта. Интересную интерпретацию переменных S-кривой для маркетин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говых коммуникаций предложили Кутлалиев и Попов в монографии «Эффективность рекламы»: Т / ф + е - \\1, где Т — «емкость рынка» и отвечает за высоту логистической кривой; ф — «конкуренция», отвечает за угол восхождения логистической кривой; |i — сила бренда, которая отвечает за продленность кривой на пиковой точке продаж; /— коммуникационный бюджет, благодаря которому созда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ется и множится сила бренда [Кутлалиев, Попов, 2005, с. 370—378]. Иными словами, авторы обнаружили в формуле логистической кривой зашифрованный алгоритм стратегического анализа внеш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ней среды. Напомним его: рынок — потребитель — конкуренция</w:t>
      </w:r>
      <w:hyperlink r:id="rId16" w:anchor="_ftn8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[8]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Сфера применения модели S-образной кривой может быть рас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ширена за рамки бизнес-коммуникаций, если подобрать эквива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ленты маркетинговым терминам в концептах психологии, а если точнее — в понятийном языке психологических процессов обра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ботки информации. Попробуем это сделать.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1. Рынок: тип мотивации, определяющей формы потребительско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го поведения и объем продаж в определенной товарной категории. Мотивацию в данном случае следует понимать как опредмеченную потребность, т.е. желание, имеющее конкретную предметно-вещ- ную материализацию в окружающем мире.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2. Клиенты, сила мотива которых в маркетинге называется ло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яльностью и определяет зрелость рынка, а также «силу бренда», если интересующим объектом является конкретная марка. Если обобщенно, то речь идет о степени сформированности потреби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тельских установок и классификации клиентов по статусу — не- пользователи категории, новички, непостоянные пользователи, лояльные пользователи.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3. Среда, в которой осуществляется коммуникация. В марке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тинге говорят о конкуренции. Классифицируют типы рыночной конкуренции с помощью индексов концентрация рынка и вытека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ющих отсюда способов заработков и «правил игры». Для иных коммуникативных дискурсов предпочтительнее говорить о нор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мах, регулирующих отношения участников взаимодействия, а так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же атмосфере, которая может быть не только конкурентной, но и дружелюбной, творческой, агрессивной и т.д.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Поясним сказанное примерами из различных областей комму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никационной деятельности. Начнем со сферы бизнеса. Приведен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ная ниже логистическая кривая описывает жизненный цикл брен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да, который может быть определен как «бум». Она отличается от стандартизированных графиков ЖЦ марок-аналогов тем, что при всех прочих равных (емкость рынка, тип конкуренции), кривая не изгибается вниз, пройдя пиковую точку продаж. То есть ведет себя вопреки естественной природе рынка с характерным фиксирован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ным коэффициентом оттока покупателей. Судя по графику (гра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фик 2), харизма бренда оказалась столь велика, что все до единого новичка, привлеченные коммуникационной кампанией, обрати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лись в фанатиков. Бывает ли такое в реальности? Конечно. Напри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мер, это норма существования для luxury-брендов. Всем светским персонам известна история модного дома “Chanel”, который оста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ется маркой номер один с 1913 г., когда был открыт первый бутик в Париже. Очевидно, этот кейс демонстрирует проявления пара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метра |i — силы бренда.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lang w:eastAsia="ru-RU"/>
        </w:rPr>
        <w:drawing>
          <wp:inline distT="0" distB="0" distL="0" distR="0">
            <wp:extent cx="3648710" cy="1708150"/>
            <wp:effectExtent l="19050" t="0" r="8890" b="0"/>
            <wp:docPr id="4" name="Рисунок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1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Таким образом, модель S-образной кривой позволяет диагно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стировать «здоровье» бренда (всегда имеется возможность сравне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ния его жизненного цикла со стандартизированной логистической кривой) и выстроить стратегически ориентированную коммуника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ционную политику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Вопрос здоровья коммерческого бренда напрямую связан с оцен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кой его стоимости. Выше мы упоминали о расхождениях в выска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зываниях экспертов относительно количества циклов, которыми меряют силу брендов. В течение трех или девяти циклов потребления сильный бренд способен удерживать своих клиентов, не вклады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ваясь при этом в рекламу? В бизнесе цена такого вопроса велика. Точный вариант ответа предлагает известная консалтинговая ком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пания “Interbrand”</w:t>
      </w:r>
      <w:hyperlink r:id="rId18" w:anchor="_ftn9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[9]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 Их запатентованная методика оценки стоимо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сти бренда создана на базе формулы s-образной кривой. В прогнозе будущей доходности бренда учитываются экспертные оценки (с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следующим присвоением численных коэффициентов) трех групп факторов: 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1) рынок: география, емкость, стабильность, тенденция;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2) конкуренция и враждебность внешней среды: поддержка, защита;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3) лидерство бренда.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Логистическая кривая может быть использована для диагности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ки и прогнозирования ЖЦ некоммерческих объектов в различных коммуникативных средах. Например, автору как-то пришлось диаг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ностировать проблемы профессионального интернет-сообщества, которое начало стремительно терять своих членов. Для владельцев ресурса очень важно поддерживать численность сообщества,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скольку от этого зависят его рекламные доходы. Решение опира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лось на алгоритм анализа кривой ЖЦ и состояло из трех действий. Во-первых, следовало оценить масштаб логистической кривой. Параметр Т в данном случае может быть интерпретирован как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тенциальная численность членов сообщества, связан с типом мо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тива, или, что то же самое, восприятием выгод такого членства. Скажем сразу, что в сообществе собрались люди с различной мо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тивацией. Имеются те, для кого членство воспринимается как имиджевая составляющая статуса и способ самоутверждения. Для многих сайт, собравший профессионалов, ассоциируется с воз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можностью пополнить профессиональные знания. Завсегдатаи же этой интернет-площадки — профессионалы из другой сферы — образовательной — тренеры и консультанты, занимающиеся «мяг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кими» продажами своих услуг сообщникам. Как долго участники будут сохранять интерес к сообществу? Анализируем оставшиеся два фактора, определяющие конфигурацию s-образной кривой. Второй фактор — |i — следует понимать как лояльность к сообще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ству. Индикаторами этой лояльности являются вовлеченность в жизнь сообщества и соответствующие пользовательские статусы: новичок, участник, эксперт. Новички время от времени читают материалы сайта, статус участника присваивается авторам статей, эксперты — активные комментаторы публикаций, кейсов. Навер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ное, читатель уже догадывается, что в подавляющем большинстве эксперты — это продавцы образовательных услуг, ведь у них самая сильная и устойчивая мотивация: они зарабатывают себе на хлеб. Последнее обстоятельство определяет свойство третьего параметра ф, качество среды, в которой протекает общение сообщников. Люди, которые занимаются бизнесом, находятся в отношениях конку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ренции. Причем, рынок тренингов и консалтинга в России не раз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вит, характеризуется самыми грубыми формами выяснения отно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шений, которые переносятся на интернет-площадку. Разумеется, это отпугивает «участников» — их цикл жизни на сайте ограничи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вается первой и единственной публикацией:)). Как следствие, ис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тощается качество контента. Что дальше? Уходят с сайта те «но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вички», которые ждали от сайта интересных публикаций. Что в финале? Ресурс перестает быть интересным рекламодателю. На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прашивается метафора к недугу, постигшему интернет-сообще- ство: его пожирают паразиты. И причина болезни лежит в хаотич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ной коммуникационной политике администрации сайта.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lang w:eastAsia="ru-RU"/>
        </w:rPr>
        <w:t>Модель стратегических коммуникаций DAEMON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Главный принцип DAEMON</w:t>
      </w:r>
      <w:hyperlink r:id="rId19" w:anchor="_ftn10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[10]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состоит в рассмотрении пути от рекламы к продажам в форме многостадийного процесса. В этой модели реализуется принцип, который мы назвали важнейшим для стратегического управления: дифференциация рабочего 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цесса на стандартизированные технологические операции. Ниже приведено графическое изображение стадий проектирования ком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муникационного процесса в виде лестницы, состоящей из семи ступеней (график З)</w:t>
      </w:r>
      <w:hyperlink r:id="rId20" w:anchor="_ftn11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[11]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На вершине этой лестницы — деловые цели организации и цели маркетинга, нижняя ступень — бюджет коммуникационной кампании, в промежутке — операции управления процессом когни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тивной обработки информации потребителем. Напомним, точная формулировка зависимостей, связывающих ступени этой лестни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цы, важна для проектирования контрольных показателей эффек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тивности каждой из технологических операций.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>
        <w:rPr>
          <w:rFonts w:ascii="Segoe UI" w:eastAsia="Times New Roman" w:hAnsi="Segoe UI" w:cs="Segoe UI"/>
          <w:noProof/>
          <w:color w:val="000000"/>
          <w:lang w:eastAsia="ru-RU"/>
        </w:rPr>
        <w:drawing>
          <wp:inline distT="0" distB="0" distL="0" distR="0">
            <wp:extent cx="3855720" cy="2880995"/>
            <wp:effectExtent l="19050" t="0" r="0" b="0"/>
            <wp:docPr id="5" name="Рисунок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Цели организации измеряются финансами, которые обеспечивают ее жизнедеятельность и рост. Либеральная идеология, под знаком которой разворачивается современная российская культура, прагматику ставит во главу угла. И не важно, о какой организации идет речь — коммерческой, государственной, политической, общественной. Любая из них, несмотря на разные цели и миссию, не может существовать без финансовых поступлений. В современном дискурсе очень часто денежное обращение уподобляют кровообращению, состоящему из двух систем — доходов и расходов, необходимых для внутреннего жизнеобеспечения организации. Коммерческие предприятия ориентированы на извлечение прибыли, т.е. превышение доходов над расходами. Для общественных организаций извлечение прибыли недопустимо, но способность к самообеспечению определяет их жизнеспособность.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Маркетинг — функция организации, ответственная за поступление дохода. Доход — финансовый термин, «спущенный» маркетолагам «сверху». Однако деньги в организацию приносят потребители ее услуг. Поэтому маркетологи свои задачи формулируют в терминах управления поведением клиентов. Успех коммерческой организации зависит от пробных и повторных покупок, их частоты и величины. Успех политической партии зависит от голосов избирателей, которые эквивалентны количеству партийных мест в Думе, а, значит, влиянию на законодательную власть, что тоже имеет финансовое измерение. Общественная организация видитсвою задачу в поддержании справедливости, которая составляет основу социальной стабильности. Ее успех состоит в известности и безупречной репутации, поскольку общественный авторитет также монетизируются с помощью государственных грантов, спонсорства, безвозмездной помощи волонтеров. Государствен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ные структуры существуют на деньги налогоплательщиков и зани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мают монопольную позицию в своем сегменте услуг. Казалось бы, никакой свободы выбора у клиента нет. Однако непопулярные госструктуры провоцируют недовольство и создают политическую нестабильность. Хотя к рискам гражданского недовольства раз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личное отношение в различных формах государственного правле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ния, однако для всех вариантов эта ситуация опасна. Поэтому в современном мире также говорят о маркетинге госуслуг, крите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рием эффективности которого является, помимо стоимости 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изводства социальных благ, удовлетворенность клиентов и как следствие их лояльное поведение.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Надо сказать, что лояльные клиенты — долгосрочная цель мар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кетинговых программ любой организации. В отличие от новичков или непостоянных пользователей, именно лояльные клиенты «де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лают» 80% дохода организации. Почему? На этот вопрос мы уже можем ответить. Потому что они убеждены в выгодах, которые предлагает им организация. Во имя этих преимуществ (не исклю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чено, что существующих только в головах), клиенты совершают нужные организации действия без дополнительного стимулирова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ния, готовы прощать ей очень многое — от завышенных цен до не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выполненных обещаний.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На третьей ступени лестницы стратегических коммуникаций осуществляется процедура проектирования целей коммуникации. Смысл ее состоит в формулировке заданий маркетинга в терминах социально-психологической установки.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Последняя, как известно, представляет собой когнитивную схему, которая не сознается, но тем не менее формирует предрасположен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 к определенным формам поведения. В отличие от инстинк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тивных форм поведения, в установке закодирован ментальный опыт, который составляет суть интеллекта — высшей формы пси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хической деятельности. Поведение на основе социокультурных установок отличает человека культурного от человека природного.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В психологической науке разработано множество гипотез о фак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торах, определяющих работу интеллекта и формирование социо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культурных установок, так называемые иерархические модели ин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теллекта. Но об этом позже. Пока скажем, что потребительские установки (как разновидность социокультурных установок) харак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теризуются следующими психологическими состояниями: во-пер- вых, мотивированностью клиента, во-вторых, пониманием бренд- предложения, в-третьих, положительным отношением к этому предложению, в-четвертых, волевым контролем собственного 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шения (поскольку всегда существует масса неблагоприятных ситуа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ционных обстоятельств, препятствующих реализации намерения). Соответственно цели коммуникации формулируются в терминах коммуникационных эффектов, формирующих определенные уров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 потребительской установки: потребность в товарной категории, осведомленность, отношение, намерение.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Четвертая операция в разработке коммуникационного продук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та — коммуникативная стратегия. Подчеркнем различия между «ком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муникационный» и «коммуникативный». В первом случае термин включает весь комплекс операций в разработке медийного продук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та: от прогнозирования эффектов до проектирования содержания, выразительной формы, размещения в медиа, бюджетирования, контроля эффективности. Второй термин — «коммуникативный» — предполагает лишь фрагмент описанного выше цикла: стратегию общения с клиентом.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Поскольку в модели DAEMON фиксируются причинно-след- ственные связи операционных звеньев коммуникационной стра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тегии, сформулируем их для обсуждаемого этапа. На уровне целей разработчик начинает проектировать своеобразную карту когни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тивных процессов обработки информации, отмечая на ней конеч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ные пункты назначения. На уровне коммуникативных стратегий эта карта завершается. Выше уже упоминалось, что гипотезы об иерархических моделях интеллекта разнообразны. Задача разработ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чика на этом этапе состоит в том, чтобы, использовав известные ему методы исследования аудитории, уточнить факторы активиза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ции интеллекта и поведенческих установок для данной аудитории и для данной ситуации. Их иерархический порядок и подскажет стра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тегию общения с клиентом. Таким образом гарантом нужных ком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муникативных эффектов кампании является правильная стратегия.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Пятая ступень — креативная (творческая) стратегия. В качестве брифа</w:t>
      </w:r>
      <w:hyperlink r:id="rId22" w:anchor="_ftn12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[12]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креативная группа получает стратегическую карту, в кото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рой учтены особенности когнитивной обработки информации клиентом, отражены проблемы восприятия бренда и рекомендации по достижению нужных коммуникативных эффектов. Казалось бы исчерпывающая информация. Какой вклад в цепочку создания коммуникационного продукта вносит творческая составляющая? Отвечая на этот вопрос, следует учесть, что коммуникативная реаль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 всегда иная, намного богаче по-сравнению со схемой. Чтобы подчеркнуть это различие, специалисты в области НЛП-техноло- гий</w:t>
      </w:r>
      <w:hyperlink r:id="rId23" w:anchor="_ftn13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[13]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используют понятия «карта» и «территория». На карту нане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сены «значения». Однако любое значение — это лишь поверхностная структура послания [О’Коннор, Сеймор, 1997, с. 20—43], абстрак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ция, не открывающая доступ к личностному пространству клиента. Иностранцу, заучившему базовые словарные значения чужого языка, трудно даются контакты с чужеземцами. Ведь эффективное обще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ние предполагает не только трансляцию существа вопроса, но и коммуникативную «приправу» к сути в виде скрупулезного выбора собственной роли в коммуникативном акте и формы сообщения, когда нужно проявить юмор, обаяние, сарказм, высокомерие... Сообщение обретает личностный смысл, глубинную структуру.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Соотношение понятий «значение» и «смысл» наглядно выражено в словарях синонимов. Значение, представленное там как базовая словарная единица, распадается на множество смысловых вариа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ций. Эти вариации — не что иное, как статистическая фиксация многообразия способов мировосприятия носителей одного языка. Если сравнить смысловые поля одного и того же значения, но для разных языков, результаты будут еще более неожиданными... Та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кое сравнение дает ключи к пониманию различий в национальном менталитете. Таким образом, смысловой «оттенок» сообщения имеет большое значение: он программирует эмоциональные пере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живания, а также образы и конкретно-чувственные представления реальности, которые ассоциативно «цепляются» за разбуженные чувства. Все перечисленное можно обозначить одним словом: креа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тив управляет психологическим процессом восприятия. Креаторы апеллируют к эстетическому опыту, вырывая рекламируемые объек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ты из унылого однообразия повседневности. В истории рекламы имеется немало примеров ошеломительного успеха товаров, поли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тических и социальных проектов, который принесли креаторы. Например, аптекарского вида бутылка водки “Absolut” считалась одной из основных причин провальных продаж товара на рынке США в начале 1980-х гг., пока за ее продвижение не взялась фран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цузская рекламная сеть TBWA. Агентство запустило культовую се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годня рекламную кампанию «Абсолютное совершенство»</w:t>
      </w:r>
      <w:hyperlink r:id="rId24" w:anchor="_ftn14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[14]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, к реа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лизации которой привлекло художников, в том числе знаменитого Энди Уорхола. В настоящее время имя “Absolut” известно всему миру, а дизайн бутылки — на фоне архитектурных символов и 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чих достопримечательностей мира — воспринимается как luxury- формат.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Таким образом, критериями эффективности для творческой со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ставляющей коммуникационного продукта являются качества, опти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мизирующие его восприятие: заметность на фоне естественных шумов среды, в которой разворачивается процесс коммуникации; убедительность смыслового наполнения сообщения; понимание (распознаваемость); сила эмоционального впечатления.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Медиастратегия — шестое звено лестницы коммуникационного менеджмента. Коммуникационный продукт должен быть доставлен до аудитории, и это реализуется с помощью контактов — непо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средственных и опосредованных медиа. Во втором (и самом распро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страненном) варианте, когда непосредственное общение со своим клиентом невозможно, приходится «покупать» аудиторию медиа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каналов. Разумеется, не всех читателей или слушателей СМИ можно расценивать даже как потенциальных клиентов, однако платить нужно за всех. Таким образом, в массовых коммуникациях неизбежны «пустые» контакты. Планирование контактов состав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ляет суть технологий разработки медиастратегии. Критериями ее эффективности являются, во-первых, процент целевых клиентов, подтвердивший факт контакта с рекламой или другим видом медиа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текста (вспомнившие эти тексты), во-вторых, стоимость контакта.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Наконец, седьмой этап, когда «наступает момент истины» — бюджет коммуникационной кампании. Бюджет — экономическая категория, его эффективность измеряется с математической точ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ностью. Как утверждают специалисты, методы расчета коммуни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кационного бюджета, основанные на стратегическом планирова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нии, имеют погрешность в расчетах, не превышающую 3—5%. Если обнаруживаются расхождения с запланированными цифра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ми, следует вернуться и перепроверить «на прочность» все пред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шествующие звенья коммуникационной кампании.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Подведем итоги. Стратегическая коммуникация начинается с рефлексии деловых проблем, которые призвана решить комму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никация. Понимание ситуационного контекста позволяет расстав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лять правильные акценты: выделять приоритетные аудитории, управлять «шумами», осложняющими коммуникативную среду, проектировать комфортные коммуникативные форматы общения. Кроме того, профессионал без труда сумеет предложить систему коммуникационных мер, связанных с деловой целью причинно- следственной связью и имеющих точный финансовый эквивалент.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b/>
          <w:bCs/>
          <w:color w:val="000000"/>
          <w:lang w:eastAsia="ru-RU"/>
        </w:rPr>
        <w:t>Список литературы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Бейтсон Г., Бейтсон М.К. Ангелы страшатся. М.: Технологическая школа бизнеса, 1994.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Кутлалиев А., Попов А. Эффективность рекламы. М.: ЭКСМО, 2005.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О’Коннор Дж., Сеймор Дж. Введение в нейролингвистическое про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граммирование. Челябинск: Версия, 1997.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Росситер Дж. Р., Перси Л. Реклама и продвижение товаров. СПб.: Питер, 2000.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Рязанов Ю., Шматов Г. Медиапланирование. Екатеринбург: ЗАО «Эксском», 2002.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Толмен Э. Когнитивные карты у крыс и у человека: Хрестоматия по истории психологии / Под ред. П.Я. Гальперина, А.Н. Ждан. М.: Изд-во Моск. ун-та, 1980.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</w:p>
    <w:p w:rsidR="00A42B8B" w:rsidRPr="00A42B8B" w:rsidRDefault="00A42B8B" w:rsidP="00A42B8B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t>Поступила в редакцию 28.10.2012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r w:rsidRPr="00A42B8B">
        <w:rPr>
          <w:rFonts w:ascii="Segoe UI" w:eastAsia="Times New Roman" w:hAnsi="Segoe UI" w:cs="Segoe UI"/>
          <w:color w:val="000000"/>
          <w:lang w:eastAsia="ru-RU"/>
        </w:rPr>
        <w:pict>
          <v:rect id="_x0000_i1025" style="width:154.35pt;height:.75pt" o:hrpct="330" o:hrstd="t" o:hr="t" fillcolor="#a0a0a0" stroked="f"/>
        </w:pic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25" w:anchor="_ftnref1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Стратегические коммуникации и связи с общественностью. Отчет об иссле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довании // Энциклопедия маркетинга. URL: </w:t>
      </w:r>
      <w:hyperlink r:id="rId26" w:history="1">
        <w:r w:rsidRPr="00A42B8B">
          <w:rPr>
            <w:rFonts w:ascii="Segoe UI" w:eastAsia="Times New Roman" w:hAnsi="Segoe UI" w:cs="Segoe UI"/>
            <w:color w:val="3C709D"/>
            <w:u w:val="single"/>
            <w:lang w:eastAsia="ru-RU"/>
          </w:rPr>
          <w:t>http://www.marketing.spb.ra/mr/me-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dia/pr.htm (дата публикации: 03.10.2011).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27" w:anchor="_ftnref2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[2]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См., например, издания на русском языке: Друкер П. Энциклопедия менедж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мента. М.: Вильямс, 2004; Друкер П. Задачи менеджмента в XXI веке. М.: Вильямс, 2007.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28" w:anchor="_ftnref3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[3]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См.: Мипцберг Г. Школы стратегий / Под общ. ред. Ю. Каптуревского. СПб.: Питер, 2002.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29" w:anchor="_ftnref4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[4]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Уткин Э.А., Кочеткова А.И., Юликов Л.И. Сборник ситуационных задач, де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ловых и психологических игр, контрольных заданий, вопросов для самопроверки по курсу «Маркетинг». М.: Финансы и статистика, 2000. С. 58.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0" w:anchor="_ftnref5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[5]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FMCG (в переводе с английского Fast Moving Consumer Goods — товары по</w:t>
      </w:r>
      <w:r w:rsidRPr="00A42B8B">
        <w:rPr>
          <w:rFonts w:ascii="Segoe UI" w:eastAsia="Times New Roman" w:hAnsi="Segoe UI" w:cs="Segoe UI"/>
          <w:color w:val="000000"/>
          <w:lang w:eastAsia="ru-RU"/>
        </w:rPr>
        <w:softHyphen/>
        <w:t>вседневного спроса).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1" w:anchor="_ftnref6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[6]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Из архивов консалтинговой практики автора.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2" w:anchor="_ftnref7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[7]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 Впервые формулу S-образной кривой вывел бельгийский математик Пьер Ферхюльст для описания численности населения и назвал кривую логистической.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3" w:anchor="_ftnref8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[8]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См., например: Ансофф И. Стратегический менеджмент. Классическое издание. СПб.: Питер, 2009; Аакер Д. Стратегическое рыночное управление. СПб.: Питер, 2007; Вихапский О.С. Стратегическое управление: Учебник. М.: Экономиста, 2006; Портер М. Конкурентная стратегия. Методика анализа отраслей и конкурентов. М.: Альпина Бизнес Букс, 2007; Фатхутдинов Р.А. Стратегический менеджмент: Учебник. М.: Дело, 2007.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4" w:anchor="_ftnref9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[9]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Описание методов оценки стоимости бренда и кейсы размещены на сайте компании — глобального бренд-консалтингового агентства Interbrand. URL: </w:t>
      </w:r>
      <w:hyperlink r:id="rId35" w:history="1">
        <w:r w:rsidRPr="00A42B8B">
          <w:rPr>
            <w:rFonts w:ascii="Segoe UI" w:eastAsia="Times New Roman" w:hAnsi="Segoe UI" w:cs="Segoe UI"/>
            <w:color w:val="3C709D"/>
            <w:u w:val="single"/>
            <w:lang w:eastAsia="ru-RU"/>
          </w:rPr>
          <w:t>http://www.interbrand.com/ra/our-work/disciplines/brand-valuation.aspx</w:t>
        </w:r>
      </w:hyperlink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6" w:anchor="_ftnref10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[10]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DAEMON в данном случае не аббревиатура, а термин, характеризующий суть процесса посредством метафоры. Заимствован из кибернетики. Демон (англ. daemon) — в системах класса UNIX — программа, работающая в фоновом режиме без прямого общения с пользователем.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7" w:anchor="_ftnref11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[11]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Образ лестницы, визуально передающий идею причинно-следственной связи, кажется очень удачным. Придуман авторами учебника Дж. Росситером и JL Перси [ Росситер, Перси, 2000, с. 25].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8" w:anchor="_ftnref12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[12]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Бриф — техническое задание на разработку коммуникационной кампании, либо одной из ее составляющих.</w:t>
      </w:r>
    </w:p>
    <w:p w:rsidR="00A42B8B" w:rsidRPr="00A42B8B" w:rsidRDefault="00A42B8B" w:rsidP="00A42B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39" w:anchor="_ftnref13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[13]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В научный оборот понятия «карта» и «территория» ввел Грегори Бейтсон [Бейтсон, Бейтсон, 1994, с. 64—71].</w:t>
      </w:r>
    </w:p>
    <w:p w:rsidR="00A42B8B" w:rsidRPr="00A42B8B" w:rsidRDefault="00A42B8B" w:rsidP="00A42B8B">
      <w:pPr>
        <w:shd w:val="clear" w:color="auto" w:fill="FFFFFF"/>
        <w:spacing w:after="95" w:line="240" w:lineRule="auto"/>
        <w:rPr>
          <w:rFonts w:ascii="Segoe UI" w:eastAsia="Times New Roman" w:hAnsi="Segoe UI" w:cs="Segoe UI"/>
          <w:color w:val="000000"/>
          <w:lang w:eastAsia="ru-RU"/>
        </w:rPr>
      </w:pPr>
      <w:hyperlink r:id="rId40" w:anchor="_ftnref14" w:history="1">
        <w:r w:rsidRPr="00A42B8B">
          <w:rPr>
            <w:rFonts w:ascii="Segoe UI" w:eastAsia="Times New Roman" w:hAnsi="Segoe UI" w:cs="Segoe UI"/>
            <w:color w:val="3C709D"/>
            <w:u w:val="single"/>
            <w:vertAlign w:val="superscript"/>
            <w:lang w:eastAsia="ru-RU"/>
          </w:rPr>
          <w:t>[14]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Наиболее известные части этой кампании — «Города мира», «Города Азии», «Путешествие по России». См., например: Сто примеров ABSOLUTной рекламы. История знаменитых принтов. URL: </w:t>
      </w:r>
      <w:hyperlink r:id="rId41" w:history="1">
        <w:r w:rsidRPr="00A42B8B">
          <w:rPr>
            <w:rFonts w:ascii="Segoe UI" w:eastAsia="Times New Roman" w:hAnsi="Segoe UI" w:cs="Segoe UI"/>
            <w:color w:val="3C709D"/>
            <w:u w:val="single"/>
            <w:lang w:eastAsia="ru-RU"/>
          </w:rPr>
          <w:t>http://www.adme.m/kreativnyj_obzor/2007/</w:t>
        </w:r>
      </w:hyperlink>
      <w:r w:rsidRPr="00A42B8B">
        <w:rPr>
          <w:rFonts w:ascii="Segoe UI" w:eastAsia="Times New Roman" w:hAnsi="Segoe UI" w:cs="Segoe UI"/>
          <w:color w:val="000000"/>
          <w:lang w:eastAsia="ru-RU"/>
        </w:rPr>
        <w:t> 10/02/20436/ (дата публикации: 02.10.2007).</w:t>
      </w:r>
    </w:p>
    <w:p w:rsidR="00F511B5" w:rsidRDefault="00F511B5"/>
    <w:sectPr w:rsidR="00F511B5" w:rsidSect="00F5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A42B8B"/>
    <w:rsid w:val="00A42B8B"/>
    <w:rsid w:val="00F5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B5"/>
  </w:style>
  <w:style w:type="paragraph" w:styleId="1">
    <w:name w:val="heading 1"/>
    <w:basedOn w:val="a"/>
    <w:link w:val="10"/>
    <w:uiPriority w:val="9"/>
    <w:qFormat/>
    <w:rsid w:val="00A42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2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2B8B"/>
    <w:rPr>
      <w:color w:val="0000FF"/>
      <w:u w:val="single"/>
    </w:rPr>
  </w:style>
  <w:style w:type="character" w:customStyle="1" w:styleId="name">
    <w:name w:val="name"/>
    <w:basedOn w:val="a0"/>
    <w:rsid w:val="00A42B8B"/>
  </w:style>
  <w:style w:type="paragraph" w:styleId="a4">
    <w:name w:val="Normal (Web)"/>
    <w:basedOn w:val="a"/>
    <w:uiPriority w:val="99"/>
    <w:semiHidden/>
    <w:unhideWhenUsed/>
    <w:rsid w:val="00A4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rdata">
    <w:name w:val="autor_data"/>
    <w:basedOn w:val="a0"/>
    <w:rsid w:val="00A42B8B"/>
  </w:style>
  <w:style w:type="character" w:styleId="a5">
    <w:name w:val="Emphasis"/>
    <w:basedOn w:val="a0"/>
    <w:uiPriority w:val="20"/>
    <w:qFormat/>
    <w:rsid w:val="00A42B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730">
          <w:marLeft w:val="0"/>
          <w:marRight w:val="0"/>
          <w:marTop w:val="0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598">
              <w:marLeft w:val="0"/>
              <w:marRight w:val="0"/>
              <w:marTop w:val="0"/>
              <w:marBottom w:val="0"/>
              <w:divBdr>
                <w:top w:val="none" w:sz="0" w:space="17" w:color="auto"/>
                <w:left w:val="single" w:sz="6" w:space="20" w:color="E3E3E3"/>
                <w:bottom w:val="single" w:sz="6" w:space="18" w:color="E3E3E3"/>
                <w:right w:val="single" w:sz="6" w:space="20" w:color="E3E3E3"/>
              </w:divBdr>
              <w:divsChild>
                <w:div w:id="2041542315">
                  <w:marLeft w:val="0"/>
                  <w:marRight w:val="0"/>
                  <w:marTop w:val="0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3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8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6" Type="http://schemas.openxmlformats.org/officeDocument/2006/relationships/hyperlink" Target="http://www.marketing.spb.ra/mr/me-" TargetMode="External"/><Relationship Id="rId39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34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4.png"/><Relationship Id="rId25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3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8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0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9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41" Type="http://schemas.openxmlformats.org/officeDocument/2006/relationships/hyperlink" Target="http://www.adme.m/kreativnyj_obzor/2007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1" Type="http://schemas.openxmlformats.org/officeDocument/2006/relationships/image" Target="media/image2.png"/><Relationship Id="rId24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2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7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40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5" Type="http://schemas.openxmlformats.org/officeDocument/2006/relationships/hyperlink" Target="mailto:staryh@mail.ra" TargetMode="External"/><Relationship Id="rId15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3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8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6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0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19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1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4" Type="http://schemas.openxmlformats.org/officeDocument/2006/relationships/hyperlink" Target="https://vestnik.journ.msu.ru/upload/iblock/62d/2013-2-3-14.pdf" TargetMode="External"/><Relationship Id="rId9" Type="http://schemas.openxmlformats.org/officeDocument/2006/relationships/image" Target="media/image1.png"/><Relationship Id="rId14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2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27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0" Type="http://schemas.openxmlformats.org/officeDocument/2006/relationships/hyperlink" Target="file:///C:\Users\shamsutdinova.yulya\%D0%A0%D0%B0%D0%B1%D0%BE%D1%87%D0%B8%D0%B9%20%D1%81%D1%82%D0%BE%D0%BB\%D0%92%D0%95%D0%A1%D0%A2%D0%9D%D0%98%D0%9A\2013\2013-2\2013-2.doc" TargetMode="External"/><Relationship Id="rId35" Type="http://schemas.openxmlformats.org/officeDocument/2006/relationships/hyperlink" Target="http://www.interbrand.com/ra/our-work/disciplines/brand-valuation.aspx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7942</Words>
  <Characters>45274</Characters>
  <Application>Microsoft Office Word</Application>
  <DocSecurity>0</DocSecurity>
  <Lines>377</Lines>
  <Paragraphs>106</Paragraphs>
  <ScaleCrop>false</ScaleCrop>
  <Company>Microsoft</Company>
  <LinksUpToDate>false</LinksUpToDate>
  <CharactersWithSpaces>53110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2023-10-12T04:16:00Z</dcterms:created>
  <dcterms:modified xsi:type="dcterms:W3CDTF">2023-10-12T04:16:00Z</dcterms:modified>
</cp:coreProperties>
</file>